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C3781" w14:textId="77777777" w:rsidR="00D91247" w:rsidRDefault="00D91247" w:rsidP="00D91247">
      <w:pPr>
        <w:spacing w:after="0" w:line="480" w:lineRule="auto"/>
        <w:jc w:val="center"/>
        <w:rPr>
          <w:rFonts w:ascii="Times New Roman" w:hAnsi="Times New Roman"/>
          <w:sz w:val="24"/>
          <w:szCs w:val="24"/>
        </w:rPr>
      </w:pPr>
    </w:p>
    <w:p w14:paraId="2029FC86" w14:textId="77777777" w:rsidR="00D91247" w:rsidRDefault="00D91247" w:rsidP="00D91247">
      <w:pPr>
        <w:spacing w:after="0" w:line="480" w:lineRule="auto"/>
        <w:jc w:val="center"/>
        <w:rPr>
          <w:rFonts w:ascii="Times New Roman" w:hAnsi="Times New Roman"/>
          <w:sz w:val="24"/>
          <w:szCs w:val="24"/>
        </w:rPr>
      </w:pPr>
    </w:p>
    <w:p w14:paraId="05C95E0D" w14:textId="77777777" w:rsidR="00D91247" w:rsidRDefault="00D91247" w:rsidP="00D91247">
      <w:pPr>
        <w:spacing w:after="0" w:line="480" w:lineRule="auto"/>
        <w:jc w:val="center"/>
        <w:rPr>
          <w:rFonts w:ascii="Times New Roman" w:hAnsi="Times New Roman"/>
          <w:sz w:val="24"/>
          <w:szCs w:val="24"/>
        </w:rPr>
      </w:pPr>
    </w:p>
    <w:p w14:paraId="1929C323" w14:textId="77777777" w:rsidR="00D91247" w:rsidRDefault="00D91247" w:rsidP="00D91247">
      <w:pPr>
        <w:spacing w:after="0" w:line="480" w:lineRule="auto"/>
        <w:jc w:val="center"/>
        <w:rPr>
          <w:rFonts w:ascii="Times New Roman" w:hAnsi="Times New Roman"/>
          <w:sz w:val="24"/>
          <w:szCs w:val="24"/>
        </w:rPr>
      </w:pPr>
    </w:p>
    <w:p w14:paraId="722FC1D8" w14:textId="77777777" w:rsidR="00D91247" w:rsidRDefault="00D91247" w:rsidP="00D91247">
      <w:pPr>
        <w:spacing w:after="0" w:line="480" w:lineRule="auto"/>
        <w:jc w:val="center"/>
        <w:rPr>
          <w:rFonts w:ascii="Times New Roman" w:hAnsi="Times New Roman"/>
          <w:sz w:val="24"/>
          <w:szCs w:val="24"/>
        </w:rPr>
      </w:pPr>
    </w:p>
    <w:p w14:paraId="2D2C7B26" w14:textId="77777777" w:rsidR="00D91247" w:rsidRDefault="00D91247" w:rsidP="00D91247">
      <w:pPr>
        <w:spacing w:after="0" w:line="480" w:lineRule="auto"/>
        <w:jc w:val="center"/>
        <w:rPr>
          <w:rFonts w:ascii="Times New Roman" w:hAnsi="Times New Roman"/>
          <w:sz w:val="24"/>
          <w:szCs w:val="24"/>
        </w:rPr>
      </w:pPr>
    </w:p>
    <w:p w14:paraId="1E7D2810" w14:textId="77777777" w:rsidR="00D91247" w:rsidRDefault="00D91247" w:rsidP="00D91247">
      <w:pPr>
        <w:spacing w:after="0" w:line="480" w:lineRule="auto"/>
        <w:jc w:val="center"/>
        <w:rPr>
          <w:rFonts w:ascii="Times New Roman" w:hAnsi="Times New Roman"/>
          <w:sz w:val="24"/>
          <w:szCs w:val="24"/>
        </w:rPr>
      </w:pPr>
    </w:p>
    <w:p w14:paraId="4276BDB0" w14:textId="77777777" w:rsidR="00D91247" w:rsidRDefault="00D91247" w:rsidP="00D91247">
      <w:pPr>
        <w:spacing w:after="0" w:line="480" w:lineRule="auto"/>
        <w:jc w:val="center"/>
        <w:rPr>
          <w:rFonts w:ascii="Times New Roman" w:hAnsi="Times New Roman"/>
          <w:b/>
          <w:sz w:val="24"/>
          <w:szCs w:val="24"/>
        </w:rPr>
      </w:pPr>
      <w:r>
        <w:rPr>
          <w:rFonts w:ascii="Times New Roman" w:hAnsi="Times New Roman"/>
          <w:b/>
          <w:sz w:val="24"/>
          <w:szCs w:val="24"/>
        </w:rPr>
        <w:t>Literature Synthesis</w:t>
      </w:r>
    </w:p>
    <w:p w14:paraId="1A78EEE6" w14:textId="77777777" w:rsidR="00D91247" w:rsidRDefault="00D91247" w:rsidP="00D91247">
      <w:pPr>
        <w:spacing w:after="0" w:line="480" w:lineRule="auto"/>
        <w:jc w:val="center"/>
        <w:rPr>
          <w:rFonts w:ascii="Times New Roman" w:hAnsi="Times New Roman"/>
          <w:sz w:val="24"/>
          <w:szCs w:val="24"/>
        </w:rPr>
      </w:pPr>
      <w:bookmarkStart w:id="0" w:name="_GoBack"/>
      <w:bookmarkEnd w:id="0"/>
    </w:p>
    <w:p w14:paraId="2C719AF6" w14:textId="77777777" w:rsidR="00D91247" w:rsidRDefault="00D91247" w:rsidP="00D91247">
      <w:pPr>
        <w:spacing w:after="0" w:line="480" w:lineRule="auto"/>
        <w:jc w:val="center"/>
        <w:rPr>
          <w:rFonts w:ascii="Times New Roman" w:hAnsi="Times New Roman"/>
          <w:sz w:val="24"/>
          <w:szCs w:val="24"/>
        </w:rPr>
      </w:pPr>
    </w:p>
    <w:p w14:paraId="1D52AC0E" w14:textId="77777777" w:rsidR="00D91247" w:rsidRDefault="00D91247" w:rsidP="00D91247">
      <w:pPr>
        <w:spacing w:after="0" w:line="480" w:lineRule="auto"/>
        <w:jc w:val="center"/>
        <w:rPr>
          <w:rFonts w:ascii="Times New Roman" w:hAnsi="Times New Roman"/>
          <w:sz w:val="24"/>
          <w:szCs w:val="24"/>
        </w:rPr>
      </w:pPr>
    </w:p>
    <w:p w14:paraId="079F6304" w14:textId="77777777" w:rsidR="00D91247" w:rsidRDefault="00D91247" w:rsidP="00D91247">
      <w:pPr>
        <w:spacing w:after="0" w:line="480" w:lineRule="auto"/>
        <w:jc w:val="center"/>
        <w:rPr>
          <w:rFonts w:ascii="Times New Roman" w:hAnsi="Times New Roman"/>
          <w:sz w:val="24"/>
          <w:szCs w:val="24"/>
        </w:rPr>
      </w:pPr>
    </w:p>
    <w:p w14:paraId="08A64056" w14:textId="77777777" w:rsidR="00D91247" w:rsidRDefault="00D91247" w:rsidP="00D91247">
      <w:pPr>
        <w:spacing w:after="0" w:line="480" w:lineRule="auto"/>
        <w:jc w:val="center"/>
        <w:rPr>
          <w:rFonts w:ascii="Times New Roman" w:hAnsi="Times New Roman"/>
          <w:sz w:val="24"/>
          <w:szCs w:val="24"/>
        </w:rPr>
      </w:pPr>
    </w:p>
    <w:p w14:paraId="6CFED957" w14:textId="77777777" w:rsidR="00D91247" w:rsidRDefault="00D91247" w:rsidP="00D91247">
      <w:pPr>
        <w:spacing w:after="0" w:line="480" w:lineRule="auto"/>
        <w:jc w:val="center"/>
        <w:rPr>
          <w:rFonts w:ascii="Times New Roman" w:hAnsi="Times New Roman"/>
          <w:sz w:val="24"/>
          <w:szCs w:val="24"/>
        </w:rPr>
      </w:pPr>
    </w:p>
    <w:p w14:paraId="07E4BDFE" w14:textId="77777777" w:rsidR="00D91247" w:rsidRDefault="00D91247" w:rsidP="00D91247">
      <w:pPr>
        <w:spacing w:after="0" w:line="480" w:lineRule="auto"/>
        <w:jc w:val="center"/>
        <w:rPr>
          <w:rFonts w:ascii="Times New Roman" w:hAnsi="Times New Roman"/>
          <w:sz w:val="24"/>
          <w:szCs w:val="24"/>
        </w:rPr>
      </w:pPr>
    </w:p>
    <w:p w14:paraId="6D597597" w14:textId="77777777" w:rsidR="00D91247" w:rsidRDefault="00D91247" w:rsidP="00D91247">
      <w:pPr>
        <w:spacing w:after="0" w:line="480" w:lineRule="auto"/>
        <w:jc w:val="center"/>
        <w:rPr>
          <w:rFonts w:ascii="Times New Roman" w:hAnsi="Times New Roman"/>
          <w:sz w:val="24"/>
          <w:szCs w:val="24"/>
        </w:rPr>
      </w:pPr>
    </w:p>
    <w:p w14:paraId="1C01042A" w14:textId="77777777" w:rsidR="00D91247" w:rsidRDefault="00D91247" w:rsidP="00D91247">
      <w:pPr>
        <w:spacing w:after="0" w:line="480" w:lineRule="auto"/>
        <w:jc w:val="center"/>
        <w:rPr>
          <w:rFonts w:ascii="Times New Roman" w:hAnsi="Times New Roman"/>
          <w:sz w:val="24"/>
          <w:szCs w:val="24"/>
        </w:rPr>
      </w:pPr>
    </w:p>
    <w:p w14:paraId="6E097EB8" w14:textId="77777777" w:rsidR="00D91247" w:rsidRDefault="00D91247" w:rsidP="00D91247">
      <w:pPr>
        <w:spacing w:after="0" w:line="480" w:lineRule="auto"/>
        <w:jc w:val="center"/>
        <w:rPr>
          <w:rFonts w:ascii="Times New Roman" w:hAnsi="Times New Roman"/>
          <w:b/>
          <w:bCs/>
          <w:sz w:val="24"/>
          <w:szCs w:val="24"/>
        </w:rPr>
      </w:pPr>
      <w:r>
        <w:rPr>
          <w:rFonts w:ascii="Times New Roman" w:hAnsi="Times New Roman"/>
          <w:sz w:val="24"/>
          <w:szCs w:val="24"/>
        </w:rPr>
        <w:br w:type="page"/>
      </w:r>
      <w:r>
        <w:rPr>
          <w:rFonts w:ascii="Times New Roman" w:hAnsi="Times New Roman"/>
          <w:b/>
          <w:bCs/>
          <w:sz w:val="24"/>
          <w:szCs w:val="24"/>
        </w:rPr>
        <w:lastRenderedPageBreak/>
        <w:t>Literature Synthesis</w:t>
      </w:r>
    </w:p>
    <w:p w14:paraId="7D4F5346" w14:textId="77777777" w:rsidR="00D91247" w:rsidRDefault="00D91247" w:rsidP="00D91247">
      <w:pPr>
        <w:spacing w:after="0" w:line="480" w:lineRule="auto"/>
        <w:jc w:val="center"/>
        <w:rPr>
          <w:rFonts w:ascii="Times New Roman" w:hAnsi="Times New Roman"/>
          <w:b/>
          <w:sz w:val="24"/>
          <w:szCs w:val="24"/>
        </w:rPr>
      </w:pPr>
      <w:r>
        <w:rPr>
          <w:rFonts w:ascii="Times New Roman" w:hAnsi="Times New Roman"/>
          <w:b/>
          <w:sz w:val="24"/>
          <w:szCs w:val="24"/>
        </w:rPr>
        <w:t>Establishing Effective Interrelationships at the Workplace</w:t>
      </w:r>
    </w:p>
    <w:p w14:paraId="673A9D23" w14:textId="77777777" w:rsidR="00D91247" w:rsidRDefault="00D91247" w:rsidP="00D91247">
      <w:pPr>
        <w:spacing w:after="0" w:line="480" w:lineRule="auto"/>
        <w:ind w:firstLine="720"/>
        <w:rPr>
          <w:rFonts w:ascii="Times New Roman" w:hAnsi="Times New Roman"/>
          <w:sz w:val="24"/>
          <w:szCs w:val="24"/>
          <w:shd w:val="clear" w:color="auto" w:fill="FFFFFF"/>
        </w:rPr>
      </w:pPr>
      <w:r>
        <w:rPr>
          <w:rFonts w:ascii="Times New Roman" w:hAnsi="Times New Roman"/>
          <w:sz w:val="24"/>
          <w:szCs w:val="24"/>
        </w:rPr>
        <w:t>The success of a team highly depends on the relationship among all its members. Teamwork, trust, respect, and effective communication are fundamental assets in the development of working relationships (</w:t>
      </w:r>
      <w:proofErr w:type="spellStart"/>
      <w:r>
        <w:rPr>
          <w:rFonts w:ascii="Times New Roman" w:hAnsi="Times New Roman"/>
          <w:sz w:val="24"/>
          <w:szCs w:val="24"/>
        </w:rPr>
        <w:t>Tingmum</w:t>
      </w:r>
      <w:proofErr w:type="spellEnd"/>
      <w:r>
        <w:rPr>
          <w:rFonts w:ascii="Times New Roman" w:hAnsi="Times New Roman"/>
          <w:sz w:val="24"/>
          <w:szCs w:val="24"/>
        </w:rPr>
        <w:t xml:space="preserve">, para. 1, 2020). Developing positive relationships makes one's job more pleasant and productive. The bonds may work as prospective references or professional contacts for future interactions. According to Moen (pg. 34, 2018), full-time employees spend more of their time at work, as compared to the time spent at home with their spouses and children. Moen (pg. 24, 2018) has highlighted that a stressful working condition with a deteriorated interrelationships presents a negative impact on employee health and morale. According to Moen (pg. 123, 2018), with a large sum of time spent with other workers, it is, therefore, of essence to work with a team that one would give you peace of mind and maximum cooperation. Pollack and </w:t>
      </w:r>
      <w:proofErr w:type="spellStart"/>
      <w:r>
        <w:rPr>
          <w:rFonts w:ascii="Times New Roman" w:hAnsi="Times New Roman"/>
          <w:sz w:val="24"/>
          <w:szCs w:val="24"/>
        </w:rPr>
        <w:t>Matous</w:t>
      </w:r>
      <w:proofErr w:type="spellEnd"/>
      <w:r>
        <w:rPr>
          <w:rFonts w:ascii="Times New Roman" w:hAnsi="Times New Roman"/>
          <w:sz w:val="24"/>
          <w:szCs w:val="24"/>
        </w:rPr>
        <w:t xml:space="preserve"> (para. 4, 2019) have identified that effective communication, trust, and working relationships significantly improve teamwork within the organization. </w:t>
      </w:r>
      <w:r>
        <w:rPr>
          <w:rFonts w:ascii="Times New Roman" w:hAnsi="Times New Roman"/>
          <w:sz w:val="24"/>
          <w:szCs w:val="24"/>
          <w:shd w:val="clear" w:color="auto" w:fill="FFFFFF"/>
        </w:rPr>
        <w:t xml:space="preserve">Pollack and </w:t>
      </w:r>
      <w:proofErr w:type="spellStart"/>
      <w:r>
        <w:rPr>
          <w:rFonts w:ascii="Times New Roman" w:hAnsi="Times New Roman"/>
          <w:sz w:val="24"/>
          <w:szCs w:val="24"/>
          <w:shd w:val="clear" w:color="auto" w:fill="FFFFFF"/>
        </w:rPr>
        <w:t>Matous</w:t>
      </w:r>
      <w:proofErr w:type="spellEnd"/>
      <w:r>
        <w:rPr>
          <w:rFonts w:ascii="Times New Roman" w:hAnsi="Times New Roman"/>
          <w:sz w:val="24"/>
          <w:szCs w:val="24"/>
          <w:shd w:val="clear" w:color="auto" w:fill="FFFFFF"/>
        </w:rPr>
        <w:t xml:space="preserve"> (para. 30, 2019) have further investigated the influence of team-building practice on project team members by collecting data from twenty-one respondents of a single management division in a social network survey. The research identified that effective communication is a crucial tool improving teamwork by forestalling interpersonal relationships among the employees and allowing smooth flow of processes (Pollack &amp; </w:t>
      </w:r>
      <w:proofErr w:type="spellStart"/>
      <w:r>
        <w:rPr>
          <w:rFonts w:ascii="Times New Roman" w:hAnsi="Times New Roman"/>
          <w:sz w:val="24"/>
          <w:szCs w:val="24"/>
          <w:shd w:val="clear" w:color="auto" w:fill="FFFFFF"/>
        </w:rPr>
        <w:t>Matous</w:t>
      </w:r>
      <w:proofErr w:type="spellEnd"/>
      <w:r>
        <w:rPr>
          <w:rFonts w:ascii="Times New Roman" w:hAnsi="Times New Roman"/>
          <w:sz w:val="24"/>
          <w:szCs w:val="24"/>
          <w:shd w:val="clear" w:color="auto" w:fill="FFFFFF"/>
        </w:rPr>
        <w:t xml:space="preserve">, para. 56, 2019). The findings by Pollack and </w:t>
      </w:r>
      <w:proofErr w:type="spellStart"/>
      <w:r>
        <w:rPr>
          <w:rFonts w:ascii="Times New Roman" w:hAnsi="Times New Roman"/>
          <w:sz w:val="24"/>
          <w:szCs w:val="24"/>
          <w:shd w:val="clear" w:color="auto" w:fill="FFFFFF"/>
        </w:rPr>
        <w:t>Matous</w:t>
      </w:r>
      <w:proofErr w:type="spellEnd"/>
      <w:r>
        <w:rPr>
          <w:rFonts w:ascii="Times New Roman" w:hAnsi="Times New Roman"/>
          <w:sz w:val="24"/>
          <w:szCs w:val="24"/>
          <w:shd w:val="clear" w:color="auto" w:fill="FFFFFF"/>
        </w:rPr>
        <w:t xml:space="preserve"> (paras, 52-58, 2019) are similar to the results by Mohanty and Mohanty (pg. 11, 2018), who researched to identify the impact of being on the team in the service sector industry. Mohanty and Mohanty (pg. 12, 2018) identified that the </w:t>
      </w:r>
      <w:r>
        <w:rPr>
          <w:rFonts w:ascii="Times New Roman" w:hAnsi="Times New Roman"/>
          <w:sz w:val="24"/>
          <w:szCs w:val="24"/>
          <w:shd w:val="clear" w:color="auto" w:fill="FFFFFF"/>
        </w:rPr>
        <w:lastRenderedPageBreak/>
        <w:t>interpersonal relationships are of the essence, especially in the service industry, as they strengthen collaborations and foster a unified approach to issues.</w:t>
      </w:r>
    </w:p>
    <w:p w14:paraId="4EAB3988" w14:textId="77777777" w:rsidR="00D91247" w:rsidRDefault="00D91247" w:rsidP="00D91247">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Research has also associated productive interpersonal relationship with the improvement of staff morale and increased employee retention rate. </w:t>
      </w:r>
      <w:proofErr w:type="spellStart"/>
      <w:r>
        <w:rPr>
          <w:rFonts w:ascii="Times New Roman" w:hAnsi="Times New Roman"/>
          <w:sz w:val="24"/>
          <w:szCs w:val="24"/>
          <w:shd w:val="clear" w:color="auto" w:fill="FFFFFF"/>
        </w:rPr>
        <w:t>Delina</w:t>
      </w:r>
      <w:proofErr w:type="spellEnd"/>
      <w:r>
        <w:rPr>
          <w:rFonts w:ascii="Times New Roman" w:hAnsi="Times New Roman"/>
          <w:sz w:val="24"/>
          <w:szCs w:val="24"/>
          <w:shd w:val="clear" w:color="auto" w:fill="FFFFFF"/>
        </w:rPr>
        <w:t xml:space="preserve"> (2020) identified a clear correlation between interpersonal relationships, employee moods, and job satisfaction, which showed that the overall effect of improved relations was the positive motivational effect. </w:t>
      </w:r>
      <w:proofErr w:type="spellStart"/>
      <w:r>
        <w:rPr>
          <w:rFonts w:ascii="Times New Roman" w:hAnsi="Times New Roman"/>
          <w:sz w:val="24"/>
          <w:szCs w:val="24"/>
          <w:shd w:val="clear" w:color="auto" w:fill="FFFFFF"/>
        </w:rPr>
        <w:t>Delina</w:t>
      </w:r>
      <w:proofErr w:type="spellEnd"/>
      <w:r>
        <w:rPr>
          <w:rFonts w:ascii="Times New Roman" w:hAnsi="Times New Roman"/>
          <w:sz w:val="24"/>
          <w:szCs w:val="24"/>
          <w:shd w:val="clear" w:color="auto" w:fill="FFFFFF"/>
        </w:rPr>
        <w:t xml:space="preserve"> (2020) identified that excellent relationships foster understanding, which impacts positive moods in the employees, hence motivating them. The research further concluded that when workers are actively involved, with their views respected, they become content with their jobs and tend to love their work which contributes to higher employee retention rates (</w:t>
      </w:r>
      <w:proofErr w:type="spellStart"/>
      <w:r>
        <w:rPr>
          <w:rFonts w:ascii="Times New Roman" w:hAnsi="Times New Roman"/>
          <w:sz w:val="24"/>
          <w:szCs w:val="24"/>
          <w:shd w:val="clear" w:color="auto" w:fill="FFFFFF"/>
        </w:rPr>
        <w:t>Delina</w:t>
      </w:r>
      <w:proofErr w:type="spellEnd"/>
      <w:r>
        <w:rPr>
          <w:rFonts w:ascii="Times New Roman" w:hAnsi="Times New Roman"/>
          <w:sz w:val="24"/>
          <w:szCs w:val="24"/>
          <w:shd w:val="clear" w:color="auto" w:fill="FFFFFF"/>
        </w:rPr>
        <w:t>, 2020). An employee loves the interactions and forms new friendships, which they would never wish to lose by joining another company. Further studies have identified that effective interpersonal relationships improve the productivity of the company by creating a feeling of connection and attachment between the staff which aid them to work hard to maintain the position as well as achieve the firm mission and goals (Leon &amp; Calvo-</w:t>
      </w:r>
      <w:proofErr w:type="spellStart"/>
      <w:r>
        <w:rPr>
          <w:rFonts w:ascii="Times New Roman" w:hAnsi="Times New Roman"/>
          <w:sz w:val="24"/>
          <w:szCs w:val="24"/>
          <w:shd w:val="clear" w:color="auto" w:fill="FFFFFF"/>
        </w:rPr>
        <w:t>Amodio</w:t>
      </w:r>
      <w:proofErr w:type="spellEnd"/>
      <w:r>
        <w:rPr>
          <w:rFonts w:ascii="Times New Roman" w:hAnsi="Times New Roman"/>
          <w:sz w:val="24"/>
          <w:szCs w:val="24"/>
          <w:shd w:val="clear" w:color="auto" w:fill="FFFFFF"/>
        </w:rPr>
        <w:t>, 2017). The employee feels motivated and encouraged to work harder towards the achievement of the company goals. A deteriorated relationship discourage employees, triggers the desire for transfers, hinders teamwork, and has an overall negative impact on firm productivity (Moen, pg. 83, 2018).</w:t>
      </w:r>
    </w:p>
    <w:p w14:paraId="19CAECE0" w14:textId="77777777" w:rsidR="00D91247" w:rsidRDefault="00D91247" w:rsidP="00D91247">
      <w:pPr>
        <w:tabs>
          <w:tab w:val="left" w:pos="5850"/>
        </w:tabs>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For the last few years, organizations have been devoted to developing a mechanism to foster friendlier working environments. Several researchers have cited the development of trust within the employees as a strategy that is fundamental in the development of effective interpersonal relationships (Ferreira, 2019; </w:t>
      </w:r>
      <w:proofErr w:type="spellStart"/>
      <w:r>
        <w:rPr>
          <w:rFonts w:ascii="Times New Roman" w:hAnsi="Times New Roman"/>
          <w:sz w:val="24"/>
          <w:szCs w:val="24"/>
          <w:shd w:val="clear" w:color="auto" w:fill="FFFFFF"/>
        </w:rPr>
        <w:t>Guinalíu</w:t>
      </w:r>
      <w:proofErr w:type="spellEnd"/>
      <w:r>
        <w:rPr>
          <w:rFonts w:ascii="Times New Roman" w:hAnsi="Times New Roman"/>
          <w:sz w:val="24"/>
          <w:szCs w:val="24"/>
          <w:shd w:val="clear" w:color="auto" w:fill="FFFFFF"/>
        </w:rPr>
        <w:t xml:space="preserve"> &amp; </w:t>
      </w:r>
      <w:proofErr w:type="spellStart"/>
      <w:r>
        <w:rPr>
          <w:rFonts w:ascii="Times New Roman" w:hAnsi="Times New Roman"/>
          <w:sz w:val="24"/>
          <w:szCs w:val="24"/>
          <w:shd w:val="clear" w:color="auto" w:fill="FFFFFF"/>
        </w:rPr>
        <w:t>Jordán</w:t>
      </w:r>
      <w:proofErr w:type="spellEnd"/>
      <w:r>
        <w:rPr>
          <w:rFonts w:ascii="Times New Roman" w:hAnsi="Times New Roman"/>
          <w:sz w:val="24"/>
          <w:szCs w:val="24"/>
          <w:shd w:val="clear" w:color="auto" w:fill="FFFFFF"/>
        </w:rPr>
        <w:t xml:space="preserve">, 2016). The avoidance of negative habits such as gossips ensures an environment that builds trust and confidence among the </w:t>
      </w:r>
      <w:r>
        <w:rPr>
          <w:rFonts w:ascii="Times New Roman" w:hAnsi="Times New Roman"/>
          <w:sz w:val="24"/>
          <w:szCs w:val="24"/>
          <w:shd w:val="clear" w:color="auto" w:fill="FFFFFF"/>
        </w:rPr>
        <w:lastRenderedPageBreak/>
        <w:t>workers, which has an ultimate outcome of the improvement of the employee interpersonal relationships (</w:t>
      </w:r>
      <w:proofErr w:type="spellStart"/>
      <w:r>
        <w:rPr>
          <w:rFonts w:ascii="Times New Roman" w:hAnsi="Times New Roman"/>
          <w:sz w:val="24"/>
          <w:szCs w:val="24"/>
          <w:shd w:val="clear" w:color="auto" w:fill="FFFFFF"/>
        </w:rPr>
        <w:t>Guinalíu</w:t>
      </w:r>
      <w:proofErr w:type="spellEnd"/>
      <w:r>
        <w:rPr>
          <w:rFonts w:ascii="Times New Roman" w:hAnsi="Times New Roman"/>
          <w:sz w:val="24"/>
          <w:szCs w:val="24"/>
          <w:shd w:val="clear" w:color="auto" w:fill="FFFFFF"/>
        </w:rPr>
        <w:t xml:space="preserve"> &amp; </w:t>
      </w:r>
      <w:proofErr w:type="spellStart"/>
      <w:r>
        <w:rPr>
          <w:rFonts w:ascii="Times New Roman" w:hAnsi="Times New Roman"/>
          <w:sz w:val="24"/>
          <w:szCs w:val="24"/>
          <w:shd w:val="clear" w:color="auto" w:fill="FFFFFF"/>
        </w:rPr>
        <w:t>Jordán</w:t>
      </w:r>
      <w:proofErr w:type="spellEnd"/>
      <w:r>
        <w:rPr>
          <w:rFonts w:ascii="Times New Roman" w:hAnsi="Times New Roman"/>
          <w:sz w:val="24"/>
          <w:szCs w:val="24"/>
          <w:shd w:val="clear" w:color="auto" w:fill="FFFFFF"/>
        </w:rPr>
        <w:t>, 2016). Research by Ferreira (2019) has further identified that allocating workers their roles avoids role conflicts and promotes trust among the workers hence improving their interpersonal interactions. According to Leon and Calvo-</w:t>
      </w:r>
      <w:proofErr w:type="spellStart"/>
      <w:r>
        <w:rPr>
          <w:rFonts w:ascii="Times New Roman" w:hAnsi="Times New Roman"/>
          <w:sz w:val="24"/>
          <w:szCs w:val="24"/>
          <w:shd w:val="clear" w:color="auto" w:fill="FFFFFF"/>
        </w:rPr>
        <w:t>Amodio</w:t>
      </w:r>
      <w:proofErr w:type="spellEnd"/>
      <w:r>
        <w:rPr>
          <w:rFonts w:ascii="Times New Roman" w:hAnsi="Times New Roman"/>
          <w:sz w:val="24"/>
          <w:szCs w:val="24"/>
          <w:shd w:val="clear" w:color="auto" w:fill="FFFFFF"/>
        </w:rPr>
        <w:t xml:space="preserve"> (2017), team leaders and supervisors who often conduct meetings with their workers end up achieving better interpersonal relationships with their workers. The researchers suggested that the meeting should not be too formal and should allow the employees to express themselves freely, including carrying a coffee mug. Conducting morning meetings goes a long way in creating interaction platforms among the staff, which presents grounds for improved communication, trust teamwork, and ground for discussing challenges affecting the organization (Alter, 2018). Alter (2018) further suggests that managers should maintain neutral grounds and avoid favoritism to friends or relatives during the staff meetings to prevent a negative impression on the employees. Creation of informal picnics such as team lunch, picnics once in a while creates a platform for interpersonal relationships and natures teamwork and harmony within the employees (Hickman &amp; Silva, 2018). According to Hickman and Silvia (2018), the company should create social events for their employees where they are allowed to come along with their family members and allowed to exchange contacts so as to interact freely even after work. The employees can further develop a culture of celebrating personal events such as birthdays and anniversaries, which creates an interacting forum (Ferreira, 2019). </w:t>
      </w:r>
    </w:p>
    <w:p w14:paraId="18EE1862" w14:textId="77777777" w:rsidR="00D91247" w:rsidRDefault="00D91247" w:rsidP="00D91247">
      <w:pPr>
        <w:tabs>
          <w:tab w:val="left" w:pos="5850"/>
        </w:tabs>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Interpersonal communications can not only be forested by teamwork and communication policies but also the office design (</w:t>
      </w:r>
      <w:proofErr w:type="spellStart"/>
      <w:r>
        <w:rPr>
          <w:rFonts w:ascii="Times New Roman" w:hAnsi="Times New Roman"/>
          <w:sz w:val="24"/>
          <w:szCs w:val="24"/>
          <w:shd w:val="clear" w:color="auto" w:fill="FFFFFF"/>
        </w:rPr>
        <w:t>Goenner</w:t>
      </w:r>
      <w:proofErr w:type="spellEnd"/>
      <w:r>
        <w:rPr>
          <w:rFonts w:ascii="Times New Roman" w:hAnsi="Times New Roman"/>
          <w:sz w:val="24"/>
          <w:szCs w:val="24"/>
          <w:shd w:val="clear" w:color="auto" w:fill="FFFFFF"/>
        </w:rPr>
        <w:t xml:space="preserve">, 2017). Open office system is recommended compared to individual cubicles in promoting interpersonal communications. Similar research has shown that a balance between technology use and physical communication is encouraged in </w:t>
      </w:r>
      <w:r>
        <w:rPr>
          <w:rFonts w:ascii="Times New Roman" w:hAnsi="Times New Roman"/>
          <w:sz w:val="24"/>
          <w:szCs w:val="24"/>
          <w:shd w:val="clear" w:color="auto" w:fill="FFFFFF"/>
        </w:rPr>
        <w:lastRenderedPageBreak/>
        <w:t>forestalling interpersonal relationships (Alter, 2018). Adopting a balance between emailing and other forms of social media and physical communication helps promote interpersonal relationships in the firm.</w:t>
      </w:r>
    </w:p>
    <w:p w14:paraId="012A1443" w14:textId="77777777" w:rsidR="00D91247" w:rsidRDefault="00D91247" w:rsidP="00D91247">
      <w:pPr>
        <w:tabs>
          <w:tab w:val="left" w:pos="5850"/>
        </w:tabs>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Achieving interdepartmental interrelationships is a challenge for many firms (Hickman &amp; Silva, 2018). Most of the interactions are centered within members of the same departments. Li has shown that interdepartmental relationships can be promoted by avoiding silos which are pervasive, toxic and inhibiting the flow of feedback and best practices (Li, 2018). Li (2018) further identifies that forming cross-departmental teams in dealing with specific challenges plays a fundamental role in promoting communication and a personal touch. Leon and Calvo-</w:t>
      </w:r>
      <w:proofErr w:type="spellStart"/>
      <w:r>
        <w:rPr>
          <w:rFonts w:ascii="Times New Roman" w:hAnsi="Times New Roman"/>
          <w:sz w:val="24"/>
          <w:szCs w:val="24"/>
          <w:shd w:val="clear" w:color="auto" w:fill="FFFFFF"/>
        </w:rPr>
        <w:t>Amodio</w:t>
      </w:r>
      <w:proofErr w:type="spellEnd"/>
      <w:r>
        <w:rPr>
          <w:rFonts w:ascii="Times New Roman" w:hAnsi="Times New Roman"/>
          <w:sz w:val="24"/>
          <w:szCs w:val="24"/>
          <w:shd w:val="clear" w:color="auto" w:fill="FFFFFF"/>
        </w:rPr>
        <w:t xml:space="preserve"> (2017) have also identified that creating weekly interdepartmental meetings that are less formal provides a platform for healthy interactions that promote interpersonal relationships. The meetings are avenues for developing bonds among each other.</w:t>
      </w:r>
    </w:p>
    <w:p w14:paraId="46580BB5" w14:textId="77777777" w:rsidR="00D91247" w:rsidRDefault="00D91247" w:rsidP="00D91247">
      <w:pPr>
        <w:tabs>
          <w:tab w:val="left" w:pos="5850"/>
        </w:tabs>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Corporate politics, misunderstanding, work overloads, unfair incentives, and inadequate communication have been identified by several scholars as the main inhibitors to perfect interpersonal relationships (Henry et al., 2018; </w:t>
      </w:r>
      <w:proofErr w:type="spellStart"/>
      <w:r>
        <w:rPr>
          <w:rFonts w:ascii="Times New Roman" w:hAnsi="Times New Roman"/>
          <w:sz w:val="24"/>
          <w:szCs w:val="24"/>
          <w:shd w:val="clear" w:color="auto" w:fill="FFFFFF"/>
        </w:rPr>
        <w:t>Goenner</w:t>
      </w:r>
      <w:proofErr w:type="spellEnd"/>
      <w:r>
        <w:rPr>
          <w:rFonts w:ascii="Times New Roman" w:hAnsi="Times New Roman"/>
          <w:sz w:val="24"/>
          <w:szCs w:val="24"/>
          <w:shd w:val="clear" w:color="auto" w:fill="FFFFFF"/>
        </w:rPr>
        <w:t xml:space="preserve">, 2017). According to </w:t>
      </w:r>
      <w:proofErr w:type="spellStart"/>
      <w:r>
        <w:rPr>
          <w:rFonts w:ascii="Times New Roman" w:hAnsi="Times New Roman"/>
          <w:sz w:val="24"/>
          <w:szCs w:val="24"/>
          <w:shd w:val="clear" w:color="auto" w:fill="FFFFFF"/>
        </w:rPr>
        <w:t>Goenner</w:t>
      </w:r>
      <w:proofErr w:type="spellEnd"/>
      <w:r>
        <w:rPr>
          <w:rFonts w:ascii="Times New Roman" w:hAnsi="Times New Roman"/>
          <w:sz w:val="24"/>
          <w:szCs w:val="24"/>
          <w:shd w:val="clear" w:color="auto" w:fill="FFFFFF"/>
        </w:rPr>
        <w:t xml:space="preserve"> (2017), corporate politics develop hatred and vendettas across the organization hence inhibiting healthy relationships across the organization. Unfair incentives have been identified as unhealthy business practices that not only prevent interpersonal relationships but also demotivate the employees (Henry et al., 2018). Henry et al. (2018) discovered that work overloads occupy the employees to the point that they find themselves without time for interactions. Inadequate communication limits the ability of the stakeholders to interact hence forestalling unhealthy interpersonal relations in the organization. Similarly, interrelationships between the managers are inhibited by rude bosses who have full autonomy over everything in the company (</w:t>
      </w:r>
      <w:proofErr w:type="spellStart"/>
      <w:r>
        <w:rPr>
          <w:rFonts w:ascii="Times New Roman" w:hAnsi="Times New Roman"/>
          <w:sz w:val="24"/>
          <w:szCs w:val="24"/>
          <w:shd w:val="clear" w:color="auto" w:fill="FFFFFF"/>
        </w:rPr>
        <w:t>Goenner</w:t>
      </w:r>
      <w:proofErr w:type="spellEnd"/>
      <w:r>
        <w:rPr>
          <w:rFonts w:ascii="Times New Roman" w:hAnsi="Times New Roman"/>
          <w:sz w:val="24"/>
          <w:szCs w:val="24"/>
          <w:shd w:val="clear" w:color="auto" w:fill="FFFFFF"/>
        </w:rPr>
        <w:t xml:space="preserve">, </w:t>
      </w:r>
      <w:r>
        <w:rPr>
          <w:rFonts w:ascii="Times New Roman" w:hAnsi="Times New Roman"/>
          <w:sz w:val="24"/>
          <w:szCs w:val="24"/>
          <w:shd w:val="clear" w:color="auto" w:fill="FFFFFF"/>
        </w:rPr>
        <w:lastRenderedPageBreak/>
        <w:t>2017). Employees feel uncomfortable interacting with such type of managers and avoid hence generating a deteriorated relationship.</w:t>
      </w:r>
    </w:p>
    <w:p w14:paraId="3AC5EF87" w14:textId="77777777" w:rsidR="00D91247" w:rsidRDefault="00D91247" w:rsidP="00D91247">
      <w:pPr>
        <w:tabs>
          <w:tab w:val="left" w:pos="5850"/>
        </w:tabs>
        <w:spacing w:after="0" w:line="480" w:lineRule="auto"/>
        <w:jc w:val="center"/>
        <w:rPr>
          <w:rFonts w:ascii="Times New Roman" w:hAnsi="Times New Roman"/>
          <w:b/>
          <w:sz w:val="24"/>
          <w:szCs w:val="24"/>
          <w:shd w:val="clear" w:color="auto" w:fill="FFFFFF"/>
        </w:rPr>
      </w:pPr>
      <w:r>
        <w:rPr>
          <w:rFonts w:ascii="Times New Roman" w:hAnsi="Times New Roman"/>
          <w:b/>
          <w:sz w:val="24"/>
          <w:szCs w:val="24"/>
          <w:shd w:val="clear" w:color="auto" w:fill="FFFFFF"/>
        </w:rPr>
        <w:t>Conclusion</w:t>
      </w:r>
    </w:p>
    <w:p w14:paraId="5682EC01" w14:textId="77777777" w:rsidR="00D91247" w:rsidRDefault="00D91247" w:rsidP="00D91247">
      <w:pPr>
        <w:tabs>
          <w:tab w:val="left" w:pos="5850"/>
        </w:tabs>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              Research from different sources indicates that interpersonal skills are useful in the growth of a strong team at the workplace. The various sources that support this research agree on effective communication as one of the strongest pillars of constructing a team. Trust among group members is a virtue that is hard to attain, but very crucial in the construction of a thriving rather than surviving team. Corporate organizations find it challenging to achieving maximum interpersonal skills among their members. However, data from different sources indicate that most firms work hard towards establishing interpersonal skills by holding regular departmental meetings. To attain a productive relationship among team members, inhibitors that create unequal treatment among team members should be cleared.   </w:t>
      </w:r>
    </w:p>
    <w:p w14:paraId="77A4B3A8" w14:textId="77777777" w:rsidR="00D91247" w:rsidRDefault="00D91247" w:rsidP="00D91247">
      <w:pPr>
        <w:tabs>
          <w:tab w:val="left" w:pos="5850"/>
        </w:tabs>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p>
    <w:p w14:paraId="048D374F" w14:textId="77777777" w:rsidR="00D91247" w:rsidRDefault="00D91247" w:rsidP="00D91247">
      <w:pPr>
        <w:spacing w:after="0" w:line="480" w:lineRule="auto"/>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References</w:t>
      </w:r>
    </w:p>
    <w:p w14:paraId="388F8E2B" w14:textId="77777777" w:rsidR="00D91247" w:rsidRDefault="00D91247" w:rsidP="00D91247">
      <w:pPr>
        <w:spacing w:after="0" w:line="480" w:lineRule="auto"/>
        <w:ind w:left="720" w:hanging="720"/>
        <w:rPr>
          <w:rFonts w:ascii="Times New Roman" w:hAnsi="Times New Roman"/>
          <w:b/>
          <w:sz w:val="24"/>
          <w:szCs w:val="24"/>
        </w:rPr>
      </w:pPr>
      <w:r>
        <w:rPr>
          <w:rFonts w:ascii="Times New Roman" w:hAnsi="Times New Roman"/>
          <w:sz w:val="24"/>
          <w:szCs w:val="24"/>
          <w:shd w:val="clear" w:color="auto" w:fill="FFFFFF"/>
        </w:rPr>
        <w:t xml:space="preserve">Alter, S. (2018). System interaction theory: Describing interactions between work systems. </w:t>
      </w:r>
      <w:r>
        <w:rPr>
          <w:rFonts w:ascii="Times New Roman" w:hAnsi="Times New Roman"/>
          <w:i/>
          <w:iCs/>
          <w:sz w:val="24"/>
          <w:szCs w:val="24"/>
          <w:shd w:val="clear" w:color="auto" w:fill="FFFFFF"/>
        </w:rPr>
        <w:t>Communications of the Association for Information Systems</w:t>
      </w:r>
      <w:r>
        <w:rPr>
          <w:rFonts w:ascii="Times New Roman" w:hAnsi="Times New Roman"/>
          <w:sz w:val="24"/>
          <w:szCs w:val="24"/>
          <w:shd w:val="clear" w:color="auto" w:fill="FFFFFF"/>
        </w:rPr>
        <w:t xml:space="preserve">, </w:t>
      </w:r>
      <w:r>
        <w:rPr>
          <w:rFonts w:ascii="Times New Roman" w:hAnsi="Times New Roman"/>
          <w:i/>
          <w:iCs/>
          <w:sz w:val="24"/>
          <w:szCs w:val="24"/>
          <w:shd w:val="clear" w:color="auto" w:fill="FFFFFF"/>
        </w:rPr>
        <w:t>42</w:t>
      </w:r>
      <w:r>
        <w:rPr>
          <w:rFonts w:ascii="Times New Roman" w:hAnsi="Times New Roman"/>
          <w:sz w:val="24"/>
          <w:szCs w:val="24"/>
          <w:shd w:val="clear" w:color="auto" w:fill="FFFFFF"/>
        </w:rPr>
        <w:t xml:space="preserve">(1), 9. </w:t>
      </w:r>
      <w:r>
        <w:rPr>
          <w:rFonts w:ascii="Times New Roman" w:hAnsi="Times New Roman"/>
          <w:sz w:val="24"/>
          <w:szCs w:val="24"/>
          <w:bdr w:val="none" w:sz="0" w:space="0" w:color="auto" w:frame="1"/>
          <w:shd w:val="clear" w:color="auto" w:fill="FFFFFF"/>
        </w:rPr>
        <w:t>https://doi.org/10.17705/1CAIS.04209</w:t>
      </w:r>
    </w:p>
    <w:p w14:paraId="764DD17F" w14:textId="77777777" w:rsidR="00D91247" w:rsidRDefault="00D91247" w:rsidP="00D91247">
      <w:pPr>
        <w:spacing w:after="0" w:line="480" w:lineRule="auto"/>
        <w:ind w:left="720" w:hanging="720"/>
        <w:rPr>
          <w:rFonts w:ascii="Times New Roman" w:hAnsi="Times New Roman"/>
          <w:sz w:val="24"/>
          <w:szCs w:val="24"/>
        </w:rPr>
      </w:pPr>
      <w:proofErr w:type="spellStart"/>
      <w:r>
        <w:rPr>
          <w:rFonts w:ascii="Times New Roman" w:hAnsi="Times New Roman"/>
          <w:sz w:val="24"/>
          <w:szCs w:val="24"/>
          <w:shd w:val="clear" w:color="auto" w:fill="FFFFFF"/>
        </w:rPr>
        <w:t>Delina</w:t>
      </w:r>
      <w:proofErr w:type="spellEnd"/>
      <w:r>
        <w:rPr>
          <w:rFonts w:ascii="Times New Roman" w:hAnsi="Times New Roman"/>
          <w:sz w:val="24"/>
          <w:szCs w:val="24"/>
          <w:shd w:val="clear" w:color="auto" w:fill="FFFFFF"/>
        </w:rPr>
        <w:t xml:space="preserve">, G. (2020). A study on the interrelationships between employee engagement, employee engagement initiatives and job satisfaction. </w:t>
      </w:r>
      <w:r>
        <w:rPr>
          <w:rFonts w:ascii="Times New Roman" w:hAnsi="Times New Roman"/>
          <w:i/>
          <w:iCs/>
          <w:sz w:val="24"/>
          <w:szCs w:val="24"/>
          <w:shd w:val="clear" w:color="auto" w:fill="FFFFFF"/>
        </w:rPr>
        <w:t>International Journal of Business Excellence</w:t>
      </w:r>
      <w:r>
        <w:rPr>
          <w:rFonts w:ascii="Times New Roman" w:hAnsi="Times New Roman"/>
          <w:sz w:val="24"/>
          <w:szCs w:val="24"/>
          <w:shd w:val="clear" w:color="auto" w:fill="FFFFFF"/>
        </w:rPr>
        <w:t xml:space="preserve">, </w:t>
      </w:r>
      <w:r>
        <w:rPr>
          <w:rFonts w:ascii="Times New Roman" w:hAnsi="Times New Roman"/>
          <w:i/>
          <w:iCs/>
          <w:sz w:val="24"/>
          <w:szCs w:val="24"/>
          <w:shd w:val="clear" w:color="auto" w:fill="FFFFFF"/>
        </w:rPr>
        <w:t>20</w:t>
      </w:r>
      <w:r>
        <w:rPr>
          <w:rFonts w:ascii="Times New Roman" w:hAnsi="Times New Roman"/>
          <w:sz w:val="24"/>
          <w:szCs w:val="24"/>
          <w:shd w:val="clear" w:color="auto" w:fill="FFFFFF"/>
        </w:rPr>
        <w:t>(2), 242-268. https://doi.org/10.1504/IJBEX.2020.105355</w:t>
      </w:r>
    </w:p>
    <w:p w14:paraId="226AF916" w14:textId="77777777" w:rsidR="00D91247" w:rsidRDefault="00D91247" w:rsidP="00D91247">
      <w:pPr>
        <w:spacing w:after="0" w:line="480" w:lineRule="auto"/>
        <w:ind w:left="720" w:hanging="720"/>
        <w:rPr>
          <w:rFonts w:ascii="Times New Roman" w:hAnsi="Times New Roman"/>
          <w:b/>
          <w:sz w:val="24"/>
          <w:szCs w:val="24"/>
        </w:rPr>
      </w:pPr>
      <w:r>
        <w:rPr>
          <w:rFonts w:ascii="Times New Roman" w:hAnsi="Times New Roman"/>
          <w:sz w:val="24"/>
          <w:szCs w:val="24"/>
          <w:shd w:val="clear" w:color="auto" w:fill="FFFFFF"/>
        </w:rPr>
        <w:t xml:space="preserve">Ferreira, D.S.B. (2019). Building trust from the inside out: Employees and their power of influence. In G.S. Thornton, V.R. Mansi, B. </w:t>
      </w:r>
      <w:proofErr w:type="spellStart"/>
      <w:r>
        <w:rPr>
          <w:rFonts w:ascii="Times New Roman" w:hAnsi="Times New Roman"/>
          <w:sz w:val="24"/>
          <w:szCs w:val="24"/>
          <w:shd w:val="clear" w:color="auto" w:fill="FFFFFF"/>
        </w:rPr>
        <w:t>Carramenha</w:t>
      </w:r>
      <w:proofErr w:type="spellEnd"/>
      <w:r>
        <w:rPr>
          <w:rFonts w:ascii="Times New Roman" w:hAnsi="Times New Roman"/>
          <w:sz w:val="24"/>
          <w:szCs w:val="24"/>
          <w:shd w:val="clear" w:color="auto" w:fill="FFFFFF"/>
        </w:rPr>
        <w:t xml:space="preserve">, &amp; </w:t>
      </w:r>
      <w:proofErr w:type="spellStart"/>
      <w:r>
        <w:rPr>
          <w:rFonts w:ascii="Times New Roman" w:hAnsi="Times New Roman"/>
          <w:sz w:val="24"/>
          <w:szCs w:val="24"/>
          <w:shd w:val="clear" w:color="auto" w:fill="FFFFFF"/>
        </w:rPr>
        <w:t>T.Cappellano</w:t>
      </w:r>
      <w:proofErr w:type="spellEnd"/>
      <w:r>
        <w:rPr>
          <w:rFonts w:ascii="Times New Roman" w:hAnsi="Times New Roman"/>
          <w:sz w:val="24"/>
          <w:szCs w:val="24"/>
          <w:shd w:val="clear" w:color="auto" w:fill="FFFFFF"/>
        </w:rPr>
        <w:t xml:space="preserve"> (Eds.), </w:t>
      </w:r>
      <w:r>
        <w:rPr>
          <w:rFonts w:ascii="Times New Roman" w:hAnsi="Times New Roman"/>
          <w:i/>
          <w:iCs/>
          <w:sz w:val="24"/>
          <w:szCs w:val="24"/>
          <w:shd w:val="clear" w:color="auto" w:fill="FFFFFF"/>
        </w:rPr>
        <w:t>Strategic employee communication</w:t>
      </w:r>
      <w:r>
        <w:rPr>
          <w:rFonts w:ascii="Times New Roman" w:hAnsi="Times New Roman"/>
          <w:sz w:val="24"/>
          <w:szCs w:val="24"/>
          <w:shd w:val="clear" w:color="auto" w:fill="FFFFFF"/>
        </w:rPr>
        <w:t xml:space="preserve"> (pp.133-145). Palgrave Macmillan.</w:t>
      </w:r>
    </w:p>
    <w:p w14:paraId="7CE295E2" w14:textId="77777777" w:rsidR="00D91247" w:rsidRDefault="00D91247" w:rsidP="00D91247">
      <w:pPr>
        <w:spacing w:after="0" w:line="480" w:lineRule="auto"/>
        <w:ind w:left="720" w:hanging="720"/>
        <w:rPr>
          <w:rFonts w:ascii="Times New Roman" w:hAnsi="Times New Roman"/>
          <w:b/>
          <w:sz w:val="24"/>
          <w:szCs w:val="24"/>
        </w:rPr>
      </w:pPr>
      <w:proofErr w:type="spellStart"/>
      <w:r>
        <w:rPr>
          <w:rFonts w:ascii="Times New Roman" w:hAnsi="Times New Roman"/>
          <w:sz w:val="24"/>
          <w:szCs w:val="24"/>
          <w:shd w:val="clear" w:color="auto" w:fill="FFFFFF"/>
        </w:rPr>
        <w:t>Goenner</w:t>
      </w:r>
      <w:proofErr w:type="spellEnd"/>
      <w:r>
        <w:rPr>
          <w:rFonts w:ascii="Times New Roman" w:hAnsi="Times New Roman"/>
          <w:sz w:val="24"/>
          <w:szCs w:val="24"/>
          <w:shd w:val="clear" w:color="auto" w:fill="FFFFFF"/>
        </w:rPr>
        <w:t xml:space="preserve">, M.E. (2017). </w:t>
      </w:r>
      <w:r>
        <w:rPr>
          <w:rFonts w:ascii="Times New Roman" w:hAnsi="Times New Roman"/>
          <w:i/>
          <w:iCs/>
          <w:sz w:val="24"/>
          <w:szCs w:val="24"/>
          <w:shd w:val="clear" w:color="auto" w:fill="FFFFFF"/>
        </w:rPr>
        <w:t>Generations in the open office plan</w:t>
      </w:r>
      <w:r>
        <w:rPr>
          <w:rFonts w:ascii="Times New Roman" w:hAnsi="Times New Roman"/>
          <w:sz w:val="24"/>
          <w:szCs w:val="24"/>
          <w:shd w:val="clear" w:color="auto" w:fill="FFFFFF"/>
        </w:rPr>
        <w:t>. The College of St. Scholastica.</w:t>
      </w:r>
    </w:p>
    <w:p w14:paraId="1B9CF797" w14:textId="77777777" w:rsidR="00D91247" w:rsidRDefault="00D91247" w:rsidP="00D91247">
      <w:pPr>
        <w:spacing w:after="0" w:line="480" w:lineRule="auto"/>
        <w:ind w:left="720" w:hanging="720"/>
        <w:rPr>
          <w:rFonts w:ascii="Times New Roman" w:hAnsi="Times New Roman"/>
          <w:b/>
          <w:sz w:val="24"/>
          <w:szCs w:val="24"/>
        </w:rPr>
      </w:pPr>
      <w:proofErr w:type="spellStart"/>
      <w:r>
        <w:rPr>
          <w:rFonts w:ascii="Times New Roman" w:hAnsi="Times New Roman"/>
          <w:sz w:val="24"/>
          <w:szCs w:val="24"/>
          <w:shd w:val="clear" w:color="auto" w:fill="FFFFFF"/>
        </w:rPr>
        <w:t>Guinalíu</w:t>
      </w:r>
      <w:proofErr w:type="spellEnd"/>
      <w:r>
        <w:rPr>
          <w:rFonts w:ascii="Times New Roman" w:hAnsi="Times New Roman"/>
          <w:sz w:val="24"/>
          <w:szCs w:val="24"/>
          <w:shd w:val="clear" w:color="auto" w:fill="FFFFFF"/>
        </w:rPr>
        <w:t xml:space="preserve">, M., &amp; </w:t>
      </w:r>
      <w:proofErr w:type="spellStart"/>
      <w:r>
        <w:rPr>
          <w:rFonts w:ascii="Times New Roman" w:hAnsi="Times New Roman"/>
          <w:sz w:val="24"/>
          <w:szCs w:val="24"/>
          <w:shd w:val="clear" w:color="auto" w:fill="FFFFFF"/>
        </w:rPr>
        <w:t>Jordán</w:t>
      </w:r>
      <w:proofErr w:type="spellEnd"/>
      <w:r>
        <w:rPr>
          <w:rFonts w:ascii="Times New Roman" w:hAnsi="Times New Roman"/>
          <w:sz w:val="24"/>
          <w:szCs w:val="24"/>
          <w:shd w:val="clear" w:color="auto" w:fill="FFFFFF"/>
        </w:rPr>
        <w:t xml:space="preserve">, P. (2016). Building trust in the leader of virtual work teams. </w:t>
      </w:r>
      <w:r>
        <w:rPr>
          <w:rFonts w:ascii="Times New Roman" w:hAnsi="Times New Roman"/>
          <w:i/>
          <w:iCs/>
          <w:sz w:val="24"/>
          <w:szCs w:val="24"/>
          <w:shd w:val="clear" w:color="auto" w:fill="FFFFFF"/>
        </w:rPr>
        <w:t>Spanish Journal of Marketing-ESIC</w:t>
      </w:r>
      <w:r>
        <w:rPr>
          <w:rFonts w:ascii="Times New Roman" w:hAnsi="Times New Roman"/>
          <w:sz w:val="24"/>
          <w:szCs w:val="24"/>
          <w:shd w:val="clear" w:color="auto" w:fill="FFFFFF"/>
        </w:rPr>
        <w:t xml:space="preserve">, </w:t>
      </w:r>
      <w:r>
        <w:rPr>
          <w:rFonts w:ascii="Times New Roman" w:hAnsi="Times New Roman"/>
          <w:i/>
          <w:iCs/>
          <w:sz w:val="24"/>
          <w:szCs w:val="24"/>
          <w:shd w:val="clear" w:color="auto" w:fill="FFFFFF"/>
        </w:rPr>
        <w:t>20</w:t>
      </w:r>
      <w:r>
        <w:rPr>
          <w:rFonts w:ascii="Times New Roman" w:hAnsi="Times New Roman"/>
          <w:sz w:val="24"/>
          <w:szCs w:val="24"/>
          <w:shd w:val="clear" w:color="auto" w:fill="FFFFFF"/>
        </w:rPr>
        <w:t xml:space="preserve">(1), 58-70. </w:t>
      </w:r>
      <w:r>
        <w:rPr>
          <w:rFonts w:ascii="Times New Roman" w:hAnsi="Times New Roman"/>
          <w:sz w:val="24"/>
          <w:szCs w:val="24"/>
        </w:rPr>
        <w:t>https://doi.org/10.1016/j.reimke.2016.01.003</w:t>
      </w:r>
    </w:p>
    <w:p w14:paraId="6FD31253" w14:textId="77777777" w:rsidR="00D91247" w:rsidRDefault="00D91247" w:rsidP="00D91247">
      <w:pPr>
        <w:spacing w:after="0" w:line="480" w:lineRule="auto"/>
        <w:ind w:left="720" w:hanging="720"/>
        <w:rPr>
          <w:rFonts w:ascii="Times New Roman" w:hAnsi="Times New Roman"/>
          <w:b/>
          <w:sz w:val="24"/>
          <w:szCs w:val="24"/>
        </w:rPr>
      </w:pPr>
      <w:r>
        <w:rPr>
          <w:rFonts w:ascii="Times New Roman" w:hAnsi="Times New Roman"/>
          <w:sz w:val="24"/>
          <w:szCs w:val="24"/>
          <w:shd w:val="clear" w:color="auto" w:fill="FFFFFF"/>
        </w:rPr>
        <w:t xml:space="preserve">Henry, J., Eshleman, J., &amp; Moniz, R. (2018). </w:t>
      </w:r>
      <w:r>
        <w:rPr>
          <w:rFonts w:ascii="Times New Roman" w:hAnsi="Times New Roman"/>
          <w:i/>
          <w:iCs/>
          <w:sz w:val="24"/>
          <w:szCs w:val="24"/>
          <w:shd w:val="clear" w:color="auto" w:fill="FFFFFF"/>
        </w:rPr>
        <w:t>The dysfunctional library: Challenges and solutions to workplace relationships</w:t>
      </w:r>
      <w:r>
        <w:rPr>
          <w:rFonts w:ascii="Times New Roman" w:hAnsi="Times New Roman"/>
          <w:sz w:val="24"/>
          <w:szCs w:val="24"/>
          <w:shd w:val="clear" w:color="auto" w:fill="FFFFFF"/>
        </w:rPr>
        <w:t>. American Library Association.</w:t>
      </w:r>
    </w:p>
    <w:p w14:paraId="0F72FC62" w14:textId="77777777" w:rsidR="00D91247" w:rsidRDefault="00D91247" w:rsidP="00D91247">
      <w:pPr>
        <w:tabs>
          <w:tab w:val="left" w:pos="6300"/>
        </w:tabs>
        <w:spacing w:after="0" w:line="480" w:lineRule="auto"/>
        <w:ind w:left="720" w:hanging="720"/>
        <w:rPr>
          <w:rFonts w:ascii="Times New Roman" w:hAnsi="Times New Roman"/>
          <w:b/>
          <w:sz w:val="24"/>
          <w:szCs w:val="24"/>
        </w:rPr>
      </w:pPr>
      <w:r>
        <w:rPr>
          <w:rFonts w:ascii="Times New Roman" w:hAnsi="Times New Roman"/>
          <w:sz w:val="24"/>
          <w:szCs w:val="24"/>
          <w:shd w:val="clear" w:color="auto" w:fill="FFFFFF"/>
        </w:rPr>
        <w:t xml:space="preserve">Hickman, C.R., &amp; Silva, M.A. (2018). </w:t>
      </w:r>
      <w:r>
        <w:rPr>
          <w:rFonts w:ascii="Times New Roman" w:hAnsi="Times New Roman"/>
          <w:i/>
          <w:iCs/>
          <w:sz w:val="24"/>
          <w:szCs w:val="24"/>
          <w:shd w:val="clear" w:color="auto" w:fill="FFFFFF"/>
        </w:rPr>
        <w:t>Creating excellence: Managing corporate culture, strategy, and change in the new age</w:t>
      </w:r>
      <w:r>
        <w:rPr>
          <w:rFonts w:ascii="Times New Roman" w:hAnsi="Times New Roman"/>
          <w:sz w:val="24"/>
          <w:szCs w:val="24"/>
          <w:shd w:val="clear" w:color="auto" w:fill="FFFFFF"/>
        </w:rPr>
        <w:t>. Routledge.</w:t>
      </w:r>
    </w:p>
    <w:p w14:paraId="4948E363" w14:textId="77777777" w:rsidR="00D91247" w:rsidRDefault="00D91247" w:rsidP="00D91247">
      <w:pPr>
        <w:spacing w:after="0" w:line="480" w:lineRule="auto"/>
        <w:ind w:left="720" w:hanging="720"/>
        <w:rPr>
          <w:rFonts w:ascii="Times New Roman" w:hAnsi="Times New Roman"/>
          <w:sz w:val="24"/>
          <w:szCs w:val="24"/>
        </w:rPr>
      </w:pPr>
      <w:r>
        <w:rPr>
          <w:rFonts w:ascii="Times New Roman" w:hAnsi="Times New Roman"/>
          <w:sz w:val="24"/>
          <w:szCs w:val="24"/>
          <w:shd w:val="clear" w:color="auto" w:fill="FFFFFF"/>
        </w:rPr>
        <w:t>Leon, H.C.M., &amp; Calvo-</w:t>
      </w:r>
      <w:proofErr w:type="spellStart"/>
      <w:r>
        <w:rPr>
          <w:rFonts w:ascii="Times New Roman" w:hAnsi="Times New Roman"/>
          <w:sz w:val="24"/>
          <w:szCs w:val="24"/>
          <w:shd w:val="clear" w:color="auto" w:fill="FFFFFF"/>
        </w:rPr>
        <w:t>Amodio</w:t>
      </w:r>
      <w:proofErr w:type="spellEnd"/>
      <w:r>
        <w:rPr>
          <w:rFonts w:ascii="Times New Roman" w:hAnsi="Times New Roman"/>
          <w:sz w:val="24"/>
          <w:szCs w:val="24"/>
          <w:shd w:val="clear" w:color="auto" w:fill="FFFFFF"/>
        </w:rPr>
        <w:t xml:space="preserve">, J. (2017). Towards lean for sustainability: Understanding the interrelationships between lean and sustainability from systems thinking perspective. </w:t>
      </w:r>
      <w:r>
        <w:rPr>
          <w:rFonts w:ascii="Times New Roman" w:hAnsi="Times New Roman"/>
          <w:i/>
          <w:iCs/>
          <w:sz w:val="24"/>
          <w:szCs w:val="24"/>
          <w:shd w:val="clear" w:color="auto" w:fill="FFFFFF"/>
        </w:rPr>
        <w:t>Journal of Cleaner Production</w:t>
      </w:r>
      <w:r>
        <w:rPr>
          <w:rFonts w:ascii="Times New Roman" w:hAnsi="Times New Roman"/>
          <w:sz w:val="24"/>
          <w:szCs w:val="24"/>
          <w:shd w:val="clear" w:color="auto" w:fill="FFFFFF"/>
        </w:rPr>
        <w:t xml:space="preserve">, </w:t>
      </w:r>
      <w:r>
        <w:rPr>
          <w:rFonts w:ascii="Times New Roman" w:hAnsi="Times New Roman"/>
          <w:i/>
          <w:iCs/>
          <w:sz w:val="24"/>
          <w:szCs w:val="24"/>
          <w:shd w:val="clear" w:color="auto" w:fill="FFFFFF"/>
        </w:rPr>
        <w:t>142</w:t>
      </w:r>
      <w:r>
        <w:rPr>
          <w:rFonts w:ascii="Times New Roman" w:hAnsi="Times New Roman"/>
          <w:iCs/>
          <w:sz w:val="24"/>
          <w:szCs w:val="24"/>
          <w:shd w:val="clear" w:color="auto" w:fill="FFFFFF"/>
        </w:rPr>
        <w:t>(4)</w:t>
      </w:r>
      <w:r>
        <w:rPr>
          <w:rFonts w:ascii="Times New Roman" w:hAnsi="Times New Roman"/>
          <w:sz w:val="24"/>
          <w:szCs w:val="24"/>
          <w:shd w:val="clear" w:color="auto" w:fill="FFFFFF"/>
        </w:rPr>
        <w:t xml:space="preserve">, 4384-4402. </w:t>
      </w:r>
      <w:r>
        <w:rPr>
          <w:rFonts w:ascii="Times New Roman" w:hAnsi="Times New Roman"/>
          <w:sz w:val="24"/>
          <w:szCs w:val="24"/>
        </w:rPr>
        <w:t>https://doi.org/10.1016/j.jclepro.2016.11.132</w:t>
      </w:r>
    </w:p>
    <w:p w14:paraId="0C48381E" w14:textId="77777777" w:rsidR="00D91247" w:rsidRDefault="00D91247" w:rsidP="00D91247">
      <w:pPr>
        <w:spacing w:after="0" w:line="480" w:lineRule="auto"/>
        <w:ind w:left="720" w:hanging="720"/>
        <w:rPr>
          <w:rFonts w:ascii="Times New Roman" w:hAnsi="Times New Roman"/>
          <w:b/>
          <w:sz w:val="24"/>
          <w:szCs w:val="24"/>
        </w:rPr>
      </w:pPr>
      <w:r>
        <w:rPr>
          <w:rFonts w:ascii="Times New Roman" w:hAnsi="Times New Roman"/>
          <w:sz w:val="24"/>
          <w:szCs w:val="24"/>
          <w:shd w:val="clear" w:color="auto" w:fill="FFFFFF"/>
        </w:rPr>
        <w:lastRenderedPageBreak/>
        <w:t xml:space="preserve">Li, C. (2018). Building effective cross-departmental communication in organizations. In B. </w:t>
      </w:r>
      <w:proofErr w:type="spellStart"/>
      <w:r>
        <w:rPr>
          <w:rFonts w:ascii="Times New Roman" w:hAnsi="Times New Roman"/>
          <w:sz w:val="24"/>
          <w:szCs w:val="24"/>
          <w:shd w:val="clear" w:color="auto" w:fill="FFFFFF"/>
        </w:rPr>
        <w:t>Hak</w:t>
      </w:r>
      <w:proofErr w:type="spellEnd"/>
      <w:r>
        <w:rPr>
          <w:rFonts w:ascii="Times New Roman" w:hAnsi="Times New Roman"/>
          <w:sz w:val="24"/>
          <w:szCs w:val="24"/>
          <w:shd w:val="clear" w:color="auto" w:fill="FFFFFF"/>
        </w:rPr>
        <w:t xml:space="preserve"> (Ed.), </w:t>
      </w:r>
      <w:r>
        <w:rPr>
          <w:rFonts w:ascii="Times New Roman" w:hAnsi="Times New Roman"/>
          <w:i/>
          <w:iCs/>
          <w:sz w:val="24"/>
          <w:szCs w:val="24"/>
          <w:shd w:val="clear" w:color="auto" w:fill="FFFFFF"/>
        </w:rPr>
        <w:t>Powerful relationships in leadership: A collection of modern leadership insights</w:t>
      </w:r>
      <w:r>
        <w:rPr>
          <w:rFonts w:ascii="Times New Roman" w:hAnsi="Times New Roman"/>
          <w:sz w:val="24"/>
          <w:szCs w:val="24"/>
          <w:shd w:val="clear" w:color="auto" w:fill="FFFFFF"/>
        </w:rPr>
        <w:t xml:space="preserve"> (pp.91-95). </w:t>
      </w:r>
      <w:r>
        <w:rPr>
          <w:rFonts w:ascii="Times New Roman" w:hAnsi="Times New Roman"/>
          <w:sz w:val="24"/>
          <w:szCs w:val="24"/>
        </w:rPr>
        <w:t>Leadership Education Department.</w:t>
      </w:r>
    </w:p>
    <w:p w14:paraId="499D80A2" w14:textId="77777777" w:rsidR="00D91247" w:rsidRDefault="00D91247" w:rsidP="00D91247">
      <w:pPr>
        <w:spacing w:after="0" w:line="480" w:lineRule="auto"/>
        <w:ind w:left="720" w:hanging="720"/>
        <w:rPr>
          <w:rFonts w:ascii="Times New Roman" w:hAnsi="Times New Roman"/>
          <w:sz w:val="24"/>
          <w:szCs w:val="24"/>
          <w:shd w:val="clear" w:color="auto" w:fill="FFFFFF"/>
        </w:rPr>
      </w:pPr>
      <w:r>
        <w:rPr>
          <w:rFonts w:ascii="Times New Roman" w:hAnsi="Times New Roman"/>
          <w:sz w:val="24"/>
          <w:szCs w:val="24"/>
          <w:shd w:val="clear" w:color="auto" w:fill="FFFFFF"/>
        </w:rPr>
        <w:t xml:space="preserve">Moen, P. (Ed.). (2018). </w:t>
      </w:r>
      <w:r>
        <w:rPr>
          <w:rFonts w:ascii="Times New Roman" w:hAnsi="Times New Roman"/>
          <w:i/>
          <w:iCs/>
          <w:sz w:val="24"/>
          <w:szCs w:val="24"/>
          <w:shd w:val="clear" w:color="auto" w:fill="FFFFFF"/>
        </w:rPr>
        <w:t>It's about time: Couples and careers</w:t>
      </w:r>
      <w:r>
        <w:rPr>
          <w:rFonts w:ascii="Times New Roman" w:hAnsi="Times New Roman"/>
          <w:sz w:val="24"/>
          <w:szCs w:val="24"/>
          <w:shd w:val="clear" w:color="auto" w:fill="FFFFFF"/>
        </w:rPr>
        <w:t>. Cornell University Press.</w:t>
      </w:r>
    </w:p>
    <w:p w14:paraId="3A5CA75C" w14:textId="77777777" w:rsidR="00D91247" w:rsidRDefault="00D91247" w:rsidP="00D91247">
      <w:pPr>
        <w:spacing w:after="0" w:line="480" w:lineRule="auto"/>
        <w:ind w:left="720" w:hanging="720"/>
        <w:rPr>
          <w:rFonts w:ascii="Times New Roman" w:hAnsi="Times New Roman"/>
          <w:sz w:val="24"/>
          <w:szCs w:val="24"/>
          <w:shd w:val="clear" w:color="auto" w:fill="FFFFFF"/>
        </w:rPr>
      </w:pPr>
      <w:r>
        <w:rPr>
          <w:rFonts w:ascii="Times New Roman" w:hAnsi="Times New Roman"/>
          <w:sz w:val="24"/>
          <w:szCs w:val="24"/>
          <w:shd w:val="clear" w:color="auto" w:fill="FFFFFF"/>
        </w:rPr>
        <w:t xml:space="preserve">Mohanty, A., &amp; Mohanty, S. (2018). The impact of communication and group dynamics on teamwork effectiveness: The case of service sector organizations. </w:t>
      </w:r>
      <w:r>
        <w:rPr>
          <w:rFonts w:ascii="Times New Roman" w:hAnsi="Times New Roman"/>
          <w:i/>
          <w:iCs/>
          <w:sz w:val="24"/>
          <w:szCs w:val="24"/>
          <w:shd w:val="clear" w:color="auto" w:fill="FFFFFF"/>
        </w:rPr>
        <w:t>Academy of Strategic Management Journal</w:t>
      </w:r>
      <w:r>
        <w:rPr>
          <w:rFonts w:ascii="Times New Roman" w:hAnsi="Times New Roman"/>
          <w:sz w:val="24"/>
          <w:szCs w:val="24"/>
          <w:shd w:val="clear" w:color="auto" w:fill="FFFFFF"/>
        </w:rPr>
        <w:t xml:space="preserve">, </w:t>
      </w:r>
      <w:r>
        <w:rPr>
          <w:rFonts w:ascii="Times New Roman" w:hAnsi="Times New Roman"/>
          <w:i/>
          <w:iCs/>
          <w:sz w:val="24"/>
          <w:szCs w:val="24"/>
          <w:shd w:val="clear" w:color="auto" w:fill="FFFFFF"/>
        </w:rPr>
        <w:t>17</w:t>
      </w:r>
      <w:r>
        <w:rPr>
          <w:rFonts w:ascii="Times New Roman" w:hAnsi="Times New Roman"/>
          <w:sz w:val="24"/>
          <w:szCs w:val="24"/>
          <w:shd w:val="clear" w:color="auto" w:fill="FFFFFF"/>
        </w:rPr>
        <w:t>(4), 1-14.</w:t>
      </w:r>
    </w:p>
    <w:p w14:paraId="0F8D4C77" w14:textId="77777777" w:rsidR="00D91247" w:rsidRDefault="00D91247" w:rsidP="00D91247">
      <w:pPr>
        <w:spacing w:after="0" w:line="480" w:lineRule="auto"/>
        <w:ind w:left="720" w:hanging="720"/>
        <w:rPr>
          <w:rFonts w:ascii="Times New Roman" w:hAnsi="Times New Roman"/>
          <w:sz w:val="24"/>
          <w:szCs w:val="24"/>
          <w:shd w:val="clear" w:color="auto" w:fill="FFFFFF"/>
        </w:rPr>
      </w:pPr>
      <w:r>
        <w:rPr>
          <w:rFonts w:ascii="Times New Roman" w:hAnsi="Times New Roman"/>
          <w:sz w:val="24"/>
          <w:szCs w:val="24"/>
          <w:shd w:val="clear" w:color="auto" w:fill="FFFFFF"/>
        </w:rPr>
        <w:t xml:space="preserve">Pollack, J., &amp; </w:t>
      </w:r>
      <w:proofErr w:type="spellStart"/>
      <w:r>
        <w:rPr>
          <w:rFonts w:ascii="Times New Roman" w:hAnsi="Times New Roman"/>
          <w:sz w:val="24"/>
          <w:szCs w:val="24"/>
          <w:shd w:val="clear" w:color="auto" w:fill="FFFFFF"/>
        </w:rPr>
        <w:t>Matous</w:t>
      </w:r>
      <w:proofErr w:type="spellEnd"/>
      <w:r>
        <w:rPr>
          <w:rFonts w:ascii="Times New Roman" w:hAnsi="Times New Roman"/>
          <w:sz w:val="24"/>
          <w:szCs w:val="24"/>
          <w:shd w:val="clear" w:color="auto" w:fill="FFFFFF"/>
        </w:rPr>
        <w:t xml:space="preserve">, P. (2019). Testing the impact of targeted team building on project team communication using social network analysis. </w:t>
      </w:r>
      <w:r>
        <w:rPr>
          <w:rFonts w:ascii="Times New Roman" w:hAnsi="Times New Roman"/>
          <w:i/>
          <w:iCs/>
          <w:sz w:val="24"/>
          <w:szCs w:val="24"/>
          <w:shd w:val="clear" w:color="auto" w:fill="FFFFFF"/>
        </w:rPr>
        <w:t>International Journal of Project Management</w:t>
      </w:r>
      <w:r>
        <w:rPr>
          <w:rFonts w:ascii="Times New Roman" w:hAnsi="Times New Roman"/>
          <w:sz w:val="24"/>
          <w:szCs w:val="24"/>
          <w:shd w:val="clear" w:color="auto" w:fill="FFFFFF"/>
        </w:rPr>
        <w:t xml:space="preserve">, </w:t>
      </w:r>
      <w:r>
        <w:rPr>
          <w:rFonts w:ascii="Times New Roman" w:hAnsi="Times New Roman"/>
          <w:i/>
          <w:iCs/>
          <w:sz w:val="24"/>
          <w:szCs w:val="24"/>
          <w:shd w:val="clear" w:color="auto" w:fill="FFFFFF"/>
        </w:rPr>
        <w:t>37</w:t>
      </w:r>
      <w:r>
        <w:rPr>
          <w:rFonts w:ascii="Times New Roman" w:hAnsi="Times New Roman"/>
          <w:sz w:val="24"/>
          <w:szCs w:val="24"/>
          <w:shd w:val="clear" w:color="auto" w:fill="FFFFFF"/>
        </w:rPr>
        <w:t xml:space="preserve">(3), 473-484. </w:t>
      </w:r>
      <w:r>
        <w:rPr>
          <w:rFonts w:ascii="Times New Roman" w:hAnsi="Times New Roman"/>
          <w:sz w:val="24"/>
          <w:szCs w:val="24"/>
        </w:rPr>
        <w:t>https://doi.org/10.1016/j.ijproman.2019.02.005</w:t>
      </w:r>
    </w:p>
    <w:p w14:paraId="3ABB351E" w14:textId="77777777" w:rsidR="00D91247" w:rsidRDefault="00D91247" w:rsidP="00D91247">
      <w:pPr>
        <w:spacing w:after="0" w:line="480" w:lineRule="auto"/>
        <w:ind w:left="720" w:hanging="720"/>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t>Tingmum</w:t>
      </w:r>
      <w:proofErr w:type="spellEnd"/>
      <w:r>
        <w:rPr>
          <w:rFonts w:ascii="Times New Roman" w:hAnsi="Times New Roman"/>
          <w:sz w:val="24"/>
          <w:szCs w:val="24"/>
          <w:shd w:val="clear" w:color="auto" w:fill="FFFFFF"/>
        </w:rPr>
        <w:t xml:space="preserve">, J. (2020). </w:t>
      </w:r>
      <w:r>
        <w:rPr>
          <w:rFonts w:ascii="Times New Roman" w:hAnsi="Times New Roman"/>
          <w:i/>
          <w:iCs/>
          <w:sz w:val="24"/>
          <w:szCs w:val="24"/>
          <w:shd w:val="clear" w:color="auto" w:fill="FFFFFF"/>
        </w:rPr>
        <w:t>How to build effective working relationships</w:t>
      </w:r>
      <w:r>
        <w:rPr>
          <w:rFonts w:ascii="Times New Roman" w:hAnsi="Times New Roman"/>
          <w:sz w:val="24"/>
          <w:szCs w:val="24"/>
          <w:shd w:val="clear" w:color="auto" w:fill="FFFFFF"/>
        </w:rPr>
        <w:t>. Small Business - Chron.com. https://smallbusiness.chron.com/build-effective-working-relationships-20282.html#:~:text=Trust%2C%20teamwork%2C%20communication%20and%20respect,or%20contacts%20in%20your%20career</w:t>
      </w:r>
    </w:p>
    <w:p w14:paraId="755AB892" w14:textId="77777777" w:rsidR="00652EE3" w:rsidRDefault="00652EE3"/>
    <w:sectPr w:rsidR="00652EE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B5CB83" w14:textId="77777777" w:rsidR="00A63193" w:rsidRDefault="00A63193" w:rsidP="00D91247">
      <w:pPr>
        <w:spacing w:after="0" w:line="240" w:lineRule="auto"/>
      </w:pPr>
      <w:r>
        <w:separator/>
      </w:r>
    </w:p>
  </w:endnote>
  <w:endnote w:type="continuationSeparator" w:id="0">
    <w:p w14:paraId="65AFDE23" w14:textId="77777777" w:rsidR="00A63193" w:rsidRDefault="00A63193" w:rsidP="00D91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779439" w14:textId="77777777" w:rsidR="00A63193" w:rsidRDefault="00A63193" w:rsidP="00D91247">
      <w:pPr>
        <w:spacing w:after="0" w:line="240" w:lineRule="auto"/>
      </w:pPr>
      <w:r>
        <w:separator/>
      </w:r>
    </w:p>
  </w:footnote>
  <w:footnote w:type="continuationSeparator" w:id="0">
    <w:p w14:paraId="4CC1A441" w14:textId="77777777" w:rsidR="00A63193" w:rsidRDefault="00A63193" w:rsidP="00D91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0AB9A" w14:textId="5A4D4895" w:rsidR="00D91247" w:rsidRPr="00D91247" w:rsidRDefault="00D91247" w:rsidP="00D91247">
    <w:pPr>
      <w:pStyle w:val="Header"/>
      <w:rPr>
        <w:rFonts w:asciiTheme="majorBidi" w:hAnsiTheme="majorBidi" w:cstheme="majorBidi"/>
        <w:sz w:val="24"/>
        <w:szCs w:val="24"/>
      </w:rPr>
    </w:pPr>
    <w:r w:rsidRPr="00D91247">
      <w:rPr>
        <w:rFonts w:asciiTheme="majorBidi" w:hAnsiTheme="majorBidi" w:cstheme="majorBidi"/>
        <w:sz w:val="24"/>
        <w:szCs w:val="24"/>
      </w:rPr>
      <w:t>L</w:t>
    </w:r>
    <w:r>
      <w:rPr>
        <w:rFonts w:asciiTheme="majorBidi" w:hAnsiTheme="majorBidi" w:cstheme="majorBidi"/>
        <w:sz w:val="24"/>
        <w:szCs w:val="24"/>
      </w:rPr>
      <w:t>ITERATURE</w:t>
    </w:r>
    <w:r w:rsidRPr="00D91247">
      <w:rPr>
        <w:rFonts w:asciiTheme="majorBidi" w:hAnsiTheme="majorBidi" w:cstheme="majorBidi"/>
        <w:sz w:val="24"/>
        <w:szCs w:val="24"/>
      </w:rPr>
      <w:t xml:space="preserve"> S</w:t>
    </w:r>
    <w:r>
      <w:rPr>
        <w:rFonts w:asciiTheme="majorBidi" w:hAnsiTheme="majorBidi" w:cstheme="majorBidi"/>
        <w:sz w:val="24"/>
        <w:szCs w:val="24"/>
      </w:rPr>
      <w:t xml:space="preserve">YNTHESIS    </w:t>
    </w:r>
    <w:r w:rsidRPr="00D91247">
      <w:rPr>
        <w:rFonts w:asciiTheme="majorBidi" w:hAnsiTheme="majorBidi" w:cstheme="majorBidi"/>
        <w:sz w:val="24"/>
        <w:szCs w:val="24"/>
      </w:rPr>
      <w:t xml:space="preserve">                                                                                                      </w:t>
    </w:r>
    <w:sdt>
      <w:sdtPr>
        <w:rPr>
          <w:rFonts w:asciiTheme="majorBidi" w:hAnsiTheme="majorBidi" w:cstheme="majorBidi"/>
          <w:sz w:val="24"/>
          <w:szCs w:val="24"/>
        </w:rPr>
        <w:id w:val="-1658837590"/>
        <w:docPartObj>
          <w:docPartGallery w:val="Page Numbers (Top of Page)"/>
          <w:docPartUnique/>
        </w:docPartObj>
      </w:sdtPr>
      <w:sdtEndPr>
        <w:rPr>
          <w:noProof/>
        </w:rPr>
      </w:sdtEndPr>
      <w:sdtContent>
        <w:r w:rsidRPr="00D91247">
          <w:rPr>
            <w:rFonts w:asciiTheme="majorBidi" w:hAnsiTheme="majorBidi" w:cstheme="majorBidi"/>
            <w:sz w:val="24"/>
            <w:szCs w:val="24"/>
          </w:rPr>
          <w:fldChar w:fldCharType="begin"/>
        </w:r>
        <w:r w:rsidRPr="00D91247">
          <w:rPr>
            <w:rFonts w:asciiTheme="majorBidi" w:hAnsiTheme="majorBidi" w:cstheme="majorBidi"/>
            <w:sz w:val="24"/>
            <w:szCs w:val="24"/>
          </w:rPr>
          <w:instrText xml:space="preserve"> PAGE   \* MERGEFORMAT </w:instrText>
        </w:r>
        <w:r w:rsidRPr="00D91247">
          <w:rPr>
            <w:rFonts w:asciiTheme="majorBidi" w:hAnsiTheme="majorBidi" w:cstheme="majorBidi"/>
            <w:sz w:val="24"/>
            <w:szCs w:val="24"/>
          </w:rPr>
          <w:fldChar w:fldCharType="separate"/>
        </w:r>
        <w:r w:rsidRPr="00D91247">
          <w:rPr>
            <w:rFonts w:asciiTheme="majorBidi" w:hAnsiTheme="majorBidi" w:cstheme="majorBidi"/>
            <w:noProof/>
            <w:sz w:val="24"/>
            <w:szCs w:val="24"/>
          </w:rPr>
          <w:t>2</w:t>
        </w:r>
        <w:r w:rsidRPr="00D91247">
          <w:rPr>
            <w:rFonts w:asciiTheme="majorBidi" w:hAnsiTheme="majorBidi" w:cstheme="majorBidi"/>
            <w:noProof/>
            <w:sz w:val="24"/>
            <w:szCs w:val="24"/>
          </w:rPr>
          <w:fldChar w:fldCharType="end"/>
        </w:r>
      </w:sdtContent>
    </w:sdt>
  </w:p>
  <w:p w14:paraId="68274AC5" w14:textId="24E9716A" w:rsidR="00D91247" w:rsidRPr="00D91247" w:rsidRDefault="00D91247">
    <w:pPr>
      <w:pStyle w:val="Header"/>
      <w:rPr>
        <w:rFonts w:asciiTheme="majorBidi" w:hAnsiTheme="majorBidi" w:cstheme="majorBid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820"/>
    <w:rsid w:val="005C2B25"/>
    <w:rsid w:val="00652EE3"/>
    <w:rsid w:val="00670820"/>
    <w:rsid w:val="009D5B5A"/>
    <w:rsid w:val="00A63193"/>
    <w:rsid w:val="00D912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1D597"/>
  <w15:chartTrackingRefBased/>
  <w15:docId w15:val="{BF5FE414-B6C8-4082-84EE-50B0FC06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91247"/>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247"/>
    <w:rPr>
      <w:rFonts w:ascii="Calibri" w:eastAsia="Times New Roman" w:hAnsi="Calibri" w:cs="Times New Roman"/>
    </w:rPr>
  </w:style>
  <w:style w:type="paragraph" w:styleId="Footer">
    <w:name w:val="footer"/>
    <w:basedOn w:val="Normal"/>
    <w:link w:val="FooterChar"/>
    <w:uiPriority w:val="99"/>
    <w:unhideWhenUsed/>
    <w:rsid w:val="00D91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247"/>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312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1740</Words>
  <Characters>9920</Characters>
  <Application>Microsoft Office Word</Application>
  <DocSecurity>0</DocSecurity>
  <Lines>82</Lines>
  <Paragraphs>23</Paragraphs>
  <ScaleCrop>false</ScaleCrop>
  <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Khalaf</dc:creator>
  <cp:keywords/>
  <dc:description/>
  <cp:lastModifiedBy>Raed Khalaf</cp:lastModifiedBy>
  <cp:revision>3</cp:revision>
  <dcterms:created xsi:type="dcterms:W3CDTF">2020-07-12T02:21:00Z</dcterms:created>
  <dcterms:modified xsi:type="dcterms:W3CDTF">2020-07-14T22:04:00Z</dcterms:modified>
</cp:coreProperties>
</file>